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56BAC" w14:textId="676B7747" w:rsidR="00005655" w:rsidRDefault="00005655" w:rsidP="00005655">
      <w:pPr>
        <w:pStyle w:val="3GPPHeader"/>
        <w:rPr>
          <w:lang w:val="en-US"/>
        </w:rPr>
      </w:pPr>
      <w:r>
        <w:rPr>
          <w:lang w:val="en-US"/>
        </w:rPr>
        <w:t>3GPP TSG-RAN WG4 Meeting #11</w:t>
      </w:r>
      <w:r w:rsidR="00127EF9">
        <w:rPr>
          <w:lang w:val="en-US"/>
        </w:rPr>
        <w:t>7</w:t>
      </w:r>
      <w:r>
        <w:rPr>
          <w:lang w:val="en-US"/>
        </w:rPr>
        <w:tab/>
        <w:t>R4-</w:t>
      </w:r>
      <w:r w:rsidR="003E6F04" w:rsidRPr="003E6F04">
        <w:rPr>
          <w:lang w:val="en-US"/>
        </w:rPr>
        <w:t>2522126</w:t>
      </w:r>
    </w:p>
    <w:p w14:paraId="65D058A9" w14:textId="7F1B6CAB" w:rsidR="00005655" w:rsidRDefault="00127EF9" w:rsidP="00005655">
      <w:pPr>
        <w:pStyle w:val="3GPPHeader"/>
        <w:rPr>
          <w:lang w:val="en-US"/>
        </w:rPr>
      </w:pPr>
      <w:r w:rsidRPr="00127EF9">
        <w:rPr>
          <w:lang w:val="en-US"/>
        </w:rPr>
        <w:t>Dallas</w:t>
      </w:r>
      <w:r w:rsidR="00743A2E" w:rsidRPr="00743A2E">
        <w:rPr>
          <w:lang w:val="en-US"/>
        </w:rPr>
        <w:t xml:space="preserve">, </w:t>
      </w:r>
      <w:r>
        <w:rPr>
          <w:lang w:val="en-US"/>
        </w:rPr>
        <w:t>US</w:t>
      </w:r>
      <w:r w:rsidR="00005655">
        <w:rPr>
          <w:lang w:val="en-US"/>
        </w:rPr>
        <w:t xml:space="preserve">, </w:t>
      </w:r>
      <w:r>
        <w:rPr>
          <w:lang w:val="en-US"/>
        </w:rPr>
        <w:t>November</w:t>
      </w:r>
      <w:r w:rsidR="00005655">
        <w:rPr>
          <w:lang w:val="en-US"/>
        </w:rPr>
        <w:t xml:space="preserve"> </w:t>
      </w:r>
      <w:r>
        <w:rPr>
          <w:lang w:val="en-US"/>
        </w:rPr>
        <w:t>17</w:t>
      </w:r>
      <w:r w:rsidR="00005655">
        <w:rPr>
          <w:lang w:val="en-US"/>
        </w:rPr>
        <w:t xml:space="preserve"> – </w:t>
      </w:r>
      <w:r>
        <w:rPr>
          <w:lang w:val="en-US"/>
        </w:rPr>
        <w:t>21</w:t>
      </w:r>
      <w:r w:rsidR="00005655">
        <w:rPr>
          <w:lang w:val="en-US"/>
        </w:rPr>
        <w:t>, 2025</w:t>
      </w:r>
    </w:p>
    <w:p w14:paraId="0A70830B" w14:textId="50C3FD7B" w:rsidR="0073530F" w:rsidRDefault="0073530F" w:rsidP="0073530F">
      <w:pPr>
        <w:pStyle w:val="3GPPHeader"/>
      </w:pPr>
      <w:r>
        <w:t>Agenda Item:</w:t>
      </w:r>
      <w:r>
        <w:tab/>
      </w:r>
      <w:r w:rsidR="00A047ED" w:rsidRPr="00A047ED">
        <w:t>7.4.3.2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F9160E9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="00906591">
        <w:tab/>
      </w:r>
      <w:r w:rsidR="007058A5" w:rsidRPr="007058A5">
        <w:t xml:space="preserve">Discussion </w:t>
      </w:r>
      <w:r w:rsidR="00A047ED" w:rsidRPr="00A047ED">
        <w:t>on RRM requirements for (e)RedCap UE enhancement</w:t>
      </w:r>
      <w:r w:rsidR="007058A5" w:rsidRPr="007058A5">
        <w:t xml:space="preserve"> 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CEABAFE" w14:textId="3E1C9EA7" w:rsidR="00A047ED" w:rsidRDefault="00A047ED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>In the last meeting, RAN4 started the discussion on</w:t>
      </w:r>
      <w:r w:rsidR="00D55F7B">
        <w:rPr>
          <w:lang w:val="en-US"/>
        </w:rPr>
        <w:t xml:space="preserve"> R</w:t>
      </w:r>
      <w:r>
        <w:rPr>
          <w:lang w:val="en-US"/>
        </w:rPr>
        <w:t>20</w:t>
      </w:r>
      <w:r w:rsidR="00D55F7B">
        <w:rPr>
          <w:lang w:val="en-US"/>
        </w:rPr>
        <w:t xml:space="preserve"> RRM phase </w:t>
      </w:r>
      <w:r>
        <w:rPr>
          <w:lang w:val="en-US"/>
        </w:rPr>
        <w:t>6</w:t>
      </w:r>
      <w:r w:rsidR="00D55F7B">
        <w:rPr>
          <w:lang w:val="en-US"/>
        </w:rPr>
        <w:t xml:space="preserve"> WI</w:t>
      </w:r>
      <w:r>
        <w:rPr>
          <w:lang w:val="en-US"/>
        </w:rPr>
        <w:t xml:space="preserve"> according to the agreed WID shown below</w:t>
      </w:r>
      <w:r w:rsidR="00D55F7B">
        <w:rPr>
          <w:lang w:val="en-US"/>
        </w:rPr>
        <w:t>.</w:t>
      </w:r>
      <w:r>
        <w:rPr>
          <w:lang w:val="en-US"/>
        </w:rPr>
        <w:t xml:space="preserve"> The approved WF is captured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D55F7B">
        <w:rPr>
          <w:lang w:val="en-US"/>
        </w:rPr>
        <w:t>In this paper</w:t>
      </w:r>
      <w:r>
        <w:rPr>
          <w:lang w:val="en-US"/>
        </w:rPr>
        <w:t>,</w:t>
      </w:r>
      <w:r w:rsidR="00D55F7B">
        <w:rPr>
          <w:lang w:val="en-US"/>
        </w:rPr>
        <w:t xml:space="preserve"> we discuss </w:t>
      </w:r>
      <w:r>
        <w:rPr>
          <w:lang w:val="en-US"/>
        </w:rPr>
        <w:t>and provide our views</w:t>
      </w:r>
      <w:r w:rsidRPr="00A047ED">
        <w:t xml:space="preserve"> </w:t>
      </w:r>
      <w:r>
        <w:t xml:space="preserve">on the suggested </w:t>
      </w:r>
      <w:r w:rsidRPr="00A047ED">
        <w:rPr>
          <w:lang w:val="en-US"/>
        </w:rPr>
        <w:t xml:space="preserve">RRM requirements for </w:t>
      </w:r>
      <w:r>
        <w:rPr>
          <w:lang w:val="en-US"/>
        </w:rPr>
        <w:t>€</w:t>
      </w:r>
      <w:r w:rsidRPr="00A047ED">
        <w:rPr>
          <w:lang w:val="en-US"/>
        </w:rPr>
        <w:t>RedCap UE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7ED" w14:paraId="7581C0FF" w14:textId="77777777" w:rsidTr="00A047ED">
        <w:tc>
          <w:tcPr>
            <w:tcW w:w="9629" w:type="dxa"/>
          </w:tcPr>
          <w:p w14:paraId="767DAE3A" w14:textId="1ED1ACF8" w:rsidR="00A047ED" w:rsidRPr="00A047ED" w:rsidRDefault="00A047ED" w:rsidP="00A047ED">
            <w:pPr>
              <w:numPr>
                <w:ilvl w:val="0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Specify the following requirements for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(e)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RedCap Ues [RAN4]</w:t>
            </w:r>
          </w:p>
          <w:p w14:paraId="4E91DF41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Relaxed RLM/BFD RRM requirements</w:t>
            </w:r>
          </w:p>
          <w:p w14:paraId="4D2EA7F0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Use R17 RLM/BFD relaxation for legacy UE as a baseline</w:t>
            </w:r>
          </w:p>
          <w:p w14:paraId="11ED8E89" w14:textId="77777777" w:rsidR="00A047ED" w:rsidRPr="00A047ED" w:rsidRDefault="00A047ED" w:rsidP="00A047ED">
            <w:pPr>
              <w:numPr>
                <w:ilvl w:val="1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Support of less than 5 MHz channel bandwidth (15 PRB transmission bandwidth configuration and 12 PRB SSB)</w:t>
            </w:r>
          </w:p>
          <w:p w14:paraId="6181EA45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RF requirements, considering example bands: n100, n106, n26, n28 and n85</w:t>
            </w:r>
          </w:p>
          <w:p w14:paraId="5005445D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after="18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RRM requirements including relaxed RLM/BFD RRM requirements</w:t>
            </w:r>
          </w:p>
          <w:p w14:paraId="751C81D1" w14:textId="77777777" w:rsidR="00A047ED" w:rsidRPr="00A047ED" w:rsidRDefault="00A047ED" w:rsidP="00A047ED">
            <w:pPr>
              <w:numPr>
                <w:ilvl w:val="2"/>
                <w:numId w:val="74"/>
              </w:numPr>
              <w:spacing w:before="60" w:after="6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1: Use R18 3 MHz requirements for non-RedCap UE as a baseline </w:t>
            </w:r>
          </w:p>
          <w:p w14:paraId="2E971808" w14:textId="09F6FECE" w:rsidR="00A047ED" w:rsidRPr="00A047ED" w:rsidRDefault="00A047ED" w:rsidP="00A047ED">
            <w:pPr>
              <w:numPr>
                <w:ilvl w:val="1"/>
                <w:numId w:val="74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:lang w:val="en-US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Note 2: Consider both 1Rx and 2Rx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€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RedCap Ues and HD-FDD</w:t>
            </w:r>
          </w:p>
        </w:tc>
      </w:tr>
    </w:tbl>
    <w:p w14:paraId="12E81A77" w14:textId="26E6915F" w:rsidR="00D55F7B" w:rsidRDefault="00D55F7B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56A5D62D" w14:textId="642F7913" w:rsidR="003C0ECF" w:rsidRDefault="00A047ED" w:rsidP="00A047ED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Pr="00A047ED">
        <w:rPr>
          <w:lang w:val="en-US"/>
        </w:rPr>
        <w:t>Relaxed RLM/BFD RRM requirements</w:t>
      </w:r>
    </w:p>
    <w:p w14:paraId="44D8CC72" w14:textId="32E7AF65" w:rsidR="00A047ED" w:rsidRDefault="00A047ED" w:rsidP="003C0ECF">
      <w:pPr>
        <w:jc w:val="both"/>
        <w:rPr>
          <w:lang w:val="en-US"/>
        </w:rPr>
      </w:pPr>
      <w:r>
        <w:rPr>
          <w:lang w:val="en-US"/>
        </w:rPr>
        <w:t xml:space="preserve">In NR, </w:t>
      </w:r>
      <w:r w:rsidRPr="00A047ED">
        <w:rPr>
          <w:lang w:val="en-US"/>
        </w:rPr>
        <w:t xml:space="preserve">existing Rel-17 RLM/BFD relaxation for power saving has been specified only for non-RedCap UEs in FR1 and FR2, and </w:t>
      </w:r>
      <w:r>
        <w:rPr>
          <w:lang w:val="en-US"/>
        </w:rPr>
        <w:t>in th</w:t>
      </w:r>
      <w:r w:rsidR="007D5768">
        <w:rPr>
          <w:lang w:val="en-US"/>
        </w:rPr>
        <w:t>is</w:t>
      </w:r>
      <w:r>
        <w:rPr>
          <w:lang w:val="en-US"/>
        </w:rPr>
        <w:t xml:space="preserve"> release </w:t>
      </w:r>
      <w:r w:rsidRPr="00A047ED">
        <w:rPr>
          <w:lang w:val="en-US"/>
        </w:rPr>
        <w:t xml:space="preserve">it is </w:t>
      </w:r>
      <w:r>
        <w:rPr>
          <w:lang w:val="en-US"/>
        </w:rPr>
        <w:t xml:space="preserve">agreed </w:t>
      </w:r>
      <w:r w:rsidRPr="00A047ED">
        <w:rPr>
          <w:lang w:val="en-US"/>
        </w:rPr>
        <w:t xml:space="preserve">to </w:t>
      </w:r>
      <w:r w:rsidR="007D5768">
        <w:rPr>
          <w:lang w:val="en-US"/>
        </w:rPr>
        <w:t xml:space="preserve">discuss this relaxation for </w:t>
      </w:r>
      <w:r w:rsidRPr="00A047ED">
        <w:rPr>
          <w:lang w:val="en-US"/>
        </w:rPr>
        <w:t>(e)RedCap UEs.</w:t>
      </w:r>
      <w:r>
        <w:rPr>
          <w:lang w:val="en-US"/>
        </w:rPr>
        <w:t xml:space="preserve"> In our view, the r</w:t>
      </w:r>
      <w:r w:rsidRPr="00A047ED">
        <w:rPr>
          <w:lang w:val="en-US"/>
        </w:rPr>
        <w:t>elaxed RLM/BFD</w:t>
      </w:r>
      <w:r>
        <w:rPr>
          <w:lang w:val="en-US"/>
        </w:rPr>
        <w:t xml:space="preserve"> requirements for (e)RedCap can discussed taking into account the following aspects</w:t>
      </w:r>
    </w:p>
    <w:p w14:paraId="1FD03267" w14:textId="794111AE" w:rsidR="00A047ED" w:rsidRDefault="00A047ED" w:rsidP="00A047ED">
      <w:pPr>
        <w:pStyle w:val="ListParagraph"/>
        <w:numPr>
          <w:ilvl w:val="0"/>
          <w:numId w:val="75"/>
        </w:numPr>
        <w:jc w:val="both"/>
        <w:rPr>
          <w:lang w:val="en-US"/>
        </w:rPr>
      </w:pPr>
      <w:r>
        <w:rPr>
          <w:lang w:val="en-US"/>
        </w:rPr>
        <w:t xml:space="preserve">2Rx </w:t>
      </w:r>
      <w:r w:rsidR="007D5768">
        <w:rPr>
          <w:lang w:val="en-US"/>
        </w:rPr>
        <w:t>(e)</w:t>
      </w:r>
      <w:r>
        <w:rPr>
          <w:lang w:val="en-US"/>
        </w:rPr>
        <w:t xml:space="preserve">RedCap </w:t>
      </w:r>
      <w:r w:rsidR="007D5768">
        <w:rPr>
          <w:lang w:val="en-US"/>
        </w:rPr>
        <w:t>UE</w:t>
      </w:r>
    </w:p>
    <w:p w14:paraId="0590ACC8" w14:textId="16858023" w:rsidR="00A047ED" w:rsidRPr="007D5768" w:rsidRDefault="00A047ED" w:rsidP="00A047ED">
      <w:pPr>
        <w:pStyle w:val="ListParagraph"/>
        <w:numPr>
          <w:ilvl w:val="0"/>
          <w:numId w:val="75"/>
        </w:numPr>
        <w:spacing w:line="256" w:lineRule="auto"/>
        <w:jc w:val="both"/>
        <w:rPr>
          <w:lang w:val="en-US"/>
        </w:rPr>
      </w:pPr>
      <w:r>
        <w:rPr>
          <w:lang w:val="en-US"/>
        </w:rPr>
        <w:t xml:space="preserve">1Rx </w:t>
      </w:r>
      <w:r w:rsidR="007D5768">
        <w:rPr>
          <w:lang w:val="en-US"/>
        </w:rPr>
        <w:t>(e)</w:t>
      </w:r>
      <w:r>
        <w:rPr>
          <w:lang w:val="en-US"/>
        </w:rPr>
        <w:t xml:space="preserve">RedCap </w:t>
      </w:r>
      <w:r w:rsidR="007D5768">
        <w:rPr>
          <w:lang w:val="en-US"/>
        </w:rPr>
        <w:t>UE</w:t>
      </w:r>
    </w:p>
    <w:p w14:paraId="04208FC2" w14:textId="631F1882" w:rsidR="00A047ED" w:rsidRPr="00A047ED" w:rsidRDefault="00A047ED" w:rsidP="00A047ED">
      <w:pPr>
        <w:jc w:val="both"/>
        <w:rPr>
          <w:lang w:val="en-US"/>
        </w:rPr>
      </w:pPr>
      <w:r>
        <w:rPr>
          <w:lang w:val="en-US"/>
        </w:rPr>
        <w:t xml:space="preserve">In the last meeting, RAN4 agreed to re-use </w:t>
      </w:r>
      <w:r w:rsidRPr="00A047ED">
        <w:rPr>
          <w:lang w:val="en-US"/>
        </w:rPr>
        <w:t>the existing</w:t>
      </w:r>
      <w:r>
        <w:rPr>
          <w:lang w:val="en-US"/>
        </w:rPr>
        <w:t xml:space="preserve"> (non-RedCap)</w:t>
      </w:r>
      <w:r w:rsidRPr="00A047ED">
        <w:rPr>
          <w:lang w:val="en-US"/>
        </w:rPr>
        <w:t xml:space="preserve"> R17 RLM/BFD relaxation requirements for both FR1 and FR2,</w:t>
      </w:r>
      <w:r w:rsidR="008410ED" w:rsidRPr="008410ED">
        <w:t xml:space="preserve"> </w:t>
      </w:r>
      <w:r w:rsidR="008410ED" w:rsidRPr="008410ED">
        <w:rPr>
          <w:lang w:val="en-US"/>
        </w:rPr>
        <w:t>and for full-duplex FDD and TDD</w:t>
      </w:r>
      <w:r w:rsidR="008410ED">
        <w:rPr>
          <w:lang w:val="en-US"/>
        </w:rPr>
        <w:t xml:space="preserve">, </w:t>
      </w:r>
      <w:r>
        <w:rPr>
          <w:lang w:val="en-US"/>
        </w:rPr>
        <w:t xml:space="preserve">to 2Rx (e)RedCap UE as shown below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47ED" w14:paraId="22DAD7AA" w14:textId="77777777" w:rsidTr="00A047ED">
        <w:tc>
          <w:tcPr>
            <w:tcW w:w="9629" w:type="dxa"/>
          </w:tcPr>
          <w:p w14:paraId="7C15C44B" w14:textId="77777777" w:rsidR="00A047ED" w:rsidRPr="00A047ED" w:rsidRDefault="00A047ED" w:rsidP="00A047ED">
            <w:pPr>
              <w:spacing w:after="120" w:line="240" w:lineRule="auto"/>
              <w:ind w:left="540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:u w:val="single"/>
                <w14:ligatures w14:val="none"/>
              </w:rPr>
              <w:t>Issue 2-2-2: Relaxed RLM/BFD for 2Rx (e)RedCap UE</w:t>
            </w:r>
          </w:p>
          <w:p w14:paraId="6A185A71" w14:textId="77777777" w:rsidR="00A047ED" w:rsidRPr="00A047ED" w:rsidRDefault="00A047ED" w:rsidP="00A047ED">
            <w:pPr>
              <w:spacing w:after="12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highlight w:val="green"/>
                <w14:ligatures w14:val="none"/>
              </w:rPr>
              <w:t>Agreement:</w:t>
            </w:r>
          </w:p>
          <w:p w14:paraId="55BF3180" w14:textId="53BF3AD1" w:rsidR="00A047ED" w:rsidRPr="00A047ED" w:rsidRDefault="00A047ED" w:rsidP="00A047ED">
            <w:pPr>
              <w:numPr>
                <w:ilvl w:val="0"/>
                <w:numId w:val="77"/>
              </w:numPr>
              <w:spacing w:after="120" w:line="240" w:lineRule="auto"/>
              <w:textAlignment w:val="center"/>
              <w:rPr>
                <w:rFonts w:ascii="Calibri" w:eastAsia="Times New Roman" w:hAnsi="Calibri" w:cs="Calibri"/>
                <w:kern w:val="0"/>
                <w14:ligatures w14:val="none"/>
              </w:rPr>
            </w:pPr>
            <w:r w:rsidRPr="00A047ED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  <w:lastRenderedPageBreak/>
              <w:t xml:space="preserve">Reuse the existing </w:t>
            </w:r>
            <w:r w:rsidRPr="00A047ED">
              <w:rPr>
                <w:rFonts w:ascii="Times New Roman" w:eastAsia="Times New Roman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  <w:t>R17</w:t>
            </w:r>
            <w:r w:rsidRPr="00A047ED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14:ligatures w14:val="none"/>
              </w:rPr>
              <w:t xml:space="preserve"> RLM/BFD relaxation requirements for both FR1 and FR2, and for full-duplex FDD and TDD.</w:t>
            </w:r>
          </w:p>
        </w:tc>
      </w:tr>
    </w:tbl>
    <w:p w14:paraId="55F71F7B" w14:textId="77777777" w:rsidR="00A047ED" w:rsidRDefault="00A047ED" w:rsidP="00CA1446">
      <w:pPr>
        <w:jc w:val="both"/>
        <w:rPr>
          <w:lang w:val="en-US"/>
        </w:rPr>
      </w:pPr>
    </w:p>
    <w:p w14:paraId="2897DD84" w14:textId="714C515A" w:rsidR="00A047ED" w:rsidRPr="00A047ED" w:rsidRDefault="008410ED" w:rsidP="008410ED">
      <w:pPr>
        <w:jc w:val="both"/>
        <w:rPr>
          <w:lang w:val="en-US"/>
        </w:rPr>
      </w:pPr>
      <w:r>
        <w:rPr>
          <w:lang w:val="en-US"/>
        </w:rPr>
        <w:t>The difference between 1Rx and 2Rx RedCap UE from the legacy RLM/BFD requirements is that the evaluation requirement T</w:t>
      </w:r>
      <w:r>
        <w:rPr>
          <w:vertAlign w:val="subscript"/>
          <w:lang w:val="en-US"/>
        </w:rPr>
        <w:t>Evaluate_out_SSB,RedCap</w:t>
      </w:r>
      <w:r>
        <w:rPr>
          <w:lang w:val="en-US"/>
        </w:rPr>
        <w:t xml:space="preserve"> for 1Rx RedCap UE is extended (doubled) compared to 2Rx RedCap UE (as shown below), compensating for the diversity gain. However, in the context of relaxing these RLM/BFD requirements in this release, we don’t see the need to have different relaxation requirements/factors for 2Rx and 1Rx RedCap UE. In our view, RAN4 can further discuss </w:t>
      </w:r>
      <w:r w:rsidRPr="008410ED">
        <w:rPr>
          <w:lang w:val="en-US"/>
        </w:rPr>
        <w:t>whether to reuse the R17 RLM/BFD relaxation requirements for 1Rx RedCap</w:t>
      </w:r>
      <w:r>
        <w:rPr>
          <w:lang w:val="en-US"/>
        </w:rPr>
        <w:t xml:space="preserve"> UE as well.</w:t>
      </w:r>
    </w:p>
    <w:p w14:paraId="018FC70E" w14:textId="6C99651E" w:rsidR="00A047ED" w:rsidRDefault="008410ED" w:rsidP="00CA1446">
      <w:pPr>
        <w:jc w:val="both"/>
        <w:rPr>
          <w:b/>
          <w:bCs/>
        </w:rPr>
      </w:pPr>
      <w:r w:rsidRPr="008410ED">
        <w:rPr>
          <w:b/>
          <w:bCs/>
          <w:noProof/>
        </w:rPr>
        <w:drawing>
          <wp:inline distT="0" distB="0" distL="0" distR="0" wp14:anchorId="53C92E00" wp14:editId="67F6AAD0">
            <wp:extent cx="5092962" cy="11621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2962" cy="116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945B1" w14:textId="6F410CC3" w:rsidR="00A047ED" w:rsidRDefault="008410ED" w:rsidP="00CA1446">
      <w:pPr>
        <w:jc w:val="both"/>
        <w:rPr>
          <w:b/>
          <w:bCs/>
        </w:rPr>
      </w:pPr>
      <w:r w:rsidRPr="008410ED">
        <w:rPr>
          <w:b/>
          <w:bCs/>
          <w:noProof/>
        </w:rPr>
        <w:drawing>
          <wp:inline distT="0" distB="0" distL="0" distR="0" wp14:anchorId="2D9383F6" wp14:editId="0F3A363C">
            <wp:extent cx="5061210" cy="1212912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61210" cy="121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B3C3B" w14:textId="3AE793BA" w:rsidR="00CA1446" w:rsidRDefault="00CA1446" w:rsidP="00CA1446">
      <w:pPr>
        <w:jc w:val="both"/>
        <w:rPr>
          <w:b/>
          <w:bCs/>
        </w:rPr>
      </w:pPr>
      <w:r>
        <w:rPr>
          <w:b/>
          <w:bCs/>
        </w:rPr>
        <w:t xml:space="preserve">Observation 1: </w:t>
      </w:r>
      <w:r w:rsidR="008410ED">
        <w:rPr>
          <w:b/>
          <w:bCs/>
        </w:rPr>
        <w:t>T</w:t>
      </w:r>
      <w:r w:rsidR="008410ED" w:rsidRPr="008410ED">
        <w:rPr>
          <w:b/>
          <w:bCs/>
        </w:rPr>
        <w:t>he</w:t>
      </w:r>
      <w:r w:rsidR="008410ED">
        <w:rPr>
          <w:b/>
          <w:bCs/>
        </w:rPr>
        <w:t xml:space="preserve"> RLM/BFD</w:t>
      </w:r>
      <w:r w:rsidR="008410ED" w:rsidRPr="008410ED">
        <w:rPr>
          <w:b/>
          <w:bCs/>
        </w:rPr>
        <w:t xml:space="preserve"> evaluation requirement </w:t>
      </w:r>
      <w:r w:rsidR="008410ED">
        <w:rPr>
          <w:lang w:val="en-US"/>
        </w:rPr>
        <w:t>T</w:t>
      </w:r>
      <w:r w:rsidR="008410ED">
        <w:rPr>
          <w:vertAlign w:val="subscript"/>
          <w:lang w:val="en-US"/>
        </w:rPr>
        <w:t>Evaluate_out_SSB,RedCap</w:t>
      </w:r>
      <w:r w:rsidR="008410ED">
        <w:rPr>
          <w:lang w:val="en-US"/>
        </w:rPr>
        <w:t xml:space="preserve"> </w:t>
      </w:r>
      <w:r w:rsidR="008410ED" w:rsidRPr="008410ED">
        <w:rPr>
          <w:b/>
          <w:bCs/>
        </w:rPr>
        <w:t>for 1Rx RedCap UE is extended (double</w:t>
      </w:r>
      <w:r w:rsidR="008410ED">
        <w:rPr>
          <w:b/>
          <w:bCs/>
        </w:rPr>
        <w:t>d</w:t>
      </w:r>
      <w:r w:rsidR="008410ED" w:rsidRPr="008410ED">
        <w:rPr>
          <w:b/>
          <w:bCs/>
        </w:rPr>
        <w:t>) compared to 2Rx RedCap UE</w:t>
      </w:r>
    </w:p>
    <w:p w14:paraId="279C0F8A" w14:textId="76157E61" w:rsidR="00CA1446" w:rsidRDefault="00CA1446" w:rsidP="00CA1446">
      <w:pPr>
        <w:jc w:val="both"/>
        <w:rPr>
          <w:b/>
          <w:bCs/>
        </w:rPr>
      </w:pPr>
      <w:r>
        <w:rPr>
          <w:b/>
          <w:bCs/>
        </w:rPr>
        <w:t xml:space="preserve">Proposal 1: </w:t>
      </w:r>
      <w:r w:rsidR="008410ED" w:rsidRPr="008410ED">
        <w:rPr>
          <w:b/>
          <w:bCs/>
        </w:rPr>
        <w:t xml:space="preserve">RAN4 </w:t>
      </w:r>
      <w:r w:rsidR="008410ED">
        <w:rPr>
          <w:b/>
          <w:bCs/>
        </w:rPr>
        <w:t>to</w:t>
      </w:r>
      <w:r w:rsidR="008410ED" w:rsidRPr="008410ED">
        <w:rPr>
          <w:b/>
          <w:bCs/>
        </w:rPr>
        <w:t xml:space="preserve"> discuss whether to reuse R17 RLM/BFD relaxation requirements for 1Rx RedCap UE </w:t>
      </w:r>
      <w:r w:rsidR="008410ED">
        <w:rPr>
          <w:b/>
          <w:bCs/>
        </w:rPr>
        <w:t>same as 2Rx</w:t>
      </w:r>
      <w:r w:rsidR="008410ED" w:rsidRPr="008410ED">
        <w:rPr>
          <w:b/>
          <w:bCs/>
        </w:rPr>
        <w:t xml:space="preserve"> </w:t>
      </w:r>
      <w:r w:rsidR="008410ED">
        <w:rPr>
          <w:b/>
          <w:bCs/>
        </w:rPr>
        <w:t>RedCap UE</w:t>
      </w:r>
      <w:r w:rsidR="008410ED" w:rsidRPr="008410ED">
        <w:rPr>
          <w:b/>
          <w:bCs/>
        </w:rPr>
        <w:t>.</w:t>
      </w:r>
    </w:p>
    <w:p w14:paraId="3D6EDA8B" w14:textId="77777777" w:rsidR="00CA1446" w:rsidRPr="008410ED" w:rsidRDefault="00CA1446" w:rsidP="00CA1446">
      <w:pPr>
        <w:jc w:val="both"/>
        <w:rPr>
          <w:lang w:val="en-US"/>
        </w:rPr>
      </w:pPr>
    </w:p>
    <w:p w14:paraId="6A215D85" w14:textId="05F9F138" w:rsidR="008410ED" w:rsidRDefault="008410ED" w:rsidP="00CA1446">
      <w:pPr>
        <w:jc w:val="both"/>
        <w:rPr>
          <w:lang w:val="en-US"/>
        </w:rPr>
      </w:pPr>
      <w:r w:rsidRPr="008410ED">
        <w:rPr>
          <w:lang w:val="en-US"/>
        </w:rPr>
        <w:t>R</w:t>
      </w:r>
      <w:r>
        <w:rPr>
          <w:lang w:val="en-US"/>
        </w:rPr>
        <w:t xml:space="preserve">egarding the relaxation criteria, in </w:t>
      </w:r>
      <w:r w:rsidRPr="008410ED">
        <w:rPr>
          <w:lang w:val="en-US"/>
        </w:rPr>
        <w:t>R17 RLM/BFD relaxation</w:t>
      </w:r>
      <w:r>
        <w:rPr>
          <w:lang w:val="en-US"/>
        </w:rPr>
        <w:t xml:space="preserve"> two criteria were defined:</w:t>
      </w:r>
    </w:p>
    <w:p w14:paraId="41CEFB52" w14:textId="77777777" w:rsidR="008410ED" w:rsidRPr="008410ED" w:rsidRDefault="008410ED" w:rsidP="008410ED">
      <w:pPr>
        <w:pStyle w:val="ListParagraph"/>
        <w:numPr>
          <w:ilvl w:val="0"/>
          <w:numId w:val="79"/>
        </w:numPr>
        <w:tabs>
          <w:tab w:val="num" w:pos="1440"/>
        </w:tabs>
        <w:jc w:val="both"/>
        <w:rPr>
          <w:lang w:val="en-US"/>
        </w:rPr>
      </w:pPr>
      <w:r w:rsidRPr="008410ED">
        <w:rPr>
          <w:lang w:val="en-US"/>
        </w:rPr>
        <w:t>Serving cell quality criteria: UE estimated SINR should be larger than a threshold</w:t>
      </w:r>
    </w:p>
    <w:p w14:paraId="3C8C424B" w14:textId="77777777" w:rsidR="008410ED" w:rsidRPr="008410ED" w:rsidRDefault="008410ED" w:rsidP="008410ED">
      <w:pPr>
        <w:pStyle w:val="ListParagraph"/>
        <w:numPr>
          <w:ilvl w:val="0"/>
          <w:numId w:val="79"/>
        </w:numPr>
        <w:tabs>
          <w:tab w:val="num" w:pos="1440"/>
        </w:tabs>
        <w:jc w:val="both"/>
        <w:rPr>
          <w:lang w:val="en-US"/>
        </w:rPr>
      </w:pPr>
      <w:r w:rsidRPr="008410ED">
        <w:rPr>
          <w:lang w:val="en-US"/>
        </w:rPr>
        <w:t>Low mobility criteria: UE estimated SINR or RSRP should not drop more than a threshold within a given time period</w:t>
      </w:r>
    </w:p>
    <w:p w14:paraId="5680E024" w14:textId="39581F69" w:rsidR="008410ED" w:rsidRPr="008410ED" w:rsidRDefault="008410ED" w:rsidP="00CA1446">
      <w:pPr>
        <w:jc w:val="both"/>
      </w:pPr>
      <w:r>
        <w:t xml:space="preserve">In our view the same criteria can be applied for RedCap UE supporting </w:t>
      </w:r>
      <w:r>
        <w:rPr>
          <w:lang w:val="en-US"/>
        </w:rPr>
        <w:t>RLM/BFD relaxation.</w:t>
      </w:r>
    </w:p>
    <w:p w14:paraId="3DA2E7A1" w14:textId="10DB4759" w:rsidR="00CA1446" w:rsidRDefault="00CA1446" w:rsidP="00CA1446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="008410ED">
        <w:rPr>
          <w:b/>
          <w:bCs/>
        </w:rPr>
        <w:t xml:space="preserve">Re-use </w:t>
      </w:r>
      <w:r w:rsidR="008410ED" w:rsidRPr="008410ED">
        <w:rPr>
          <w:b/>
          <w:bCs/>
        </w:rPr>
        <w:t>R17 RLM/BFD relaxation criteria</w:t>
      </w:r>
      <w:r w:rsidR="008410ED">
        <w:rPr>
          <w:b/>
          <w:bCs/>
        </w:rPr>
        <w:t xml:space="preserve"> (s</w:t>
      </w:r>
      <w:r w:rsidR="008410ED" w:rsidRPr="008410ED">
        <w:rPr>
          <w:b/>
          <w:bCs/>
        </w:rPr>
        <w:t>erving cell quality criteria and Low mobility criteria</w:t>
      </w:r>
      <w:r w:rsidR="008410ED">
        <w:rPr>
          <w:b/>
          <w:bCs/>
        </w:rPr>
        <w:t xml:space="preserve">) </w:t>
      </w:r>
      <w:r w:rsidR="008410ED" w:rsidRPr="008410ED">
        <w:rPr>
          <w:b/>
          <w:bCs/>
        </w:rPr>
        <w:t>for RedCap UE supporting RLM/BFD relaxation</w:t>
      </w:r>
      <w:r>
        <w:rPr>
          <w:b/>
          <w:bCs/>
        </w:rPr>
        <w:t>.</w:t>
      </w:r>
    </w:p>
    <w:p w14:paraId="55F50401" w14:textId="77777777" w:rsidR="00CA1446" w:rsidRDefault="00CA1446" w:rsidP="00CA1446">
      <w:pPr>
        <w:jc w:val="both"/>
        <w:rPr>
          <w:b/>
          <w:bCs/>
          <w:lang w:val="en-US"/>
        </w:rPr>
      </w:pPr>
    </w:p>
    <w:p w14:paraId="7F0A7DC7" w14:textId="0321472E" w:rsidR="008410ED" w:rsidRDefault="008410ED" w:rsidP="008410ED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Pr="008410ED">
        <w:rPr>
          <w:lang w:val="en-US"/>
        </w:rPr>
        <w:t xml:space="preserve">Support of less than 5 MHz </w:t>
      </w:r>
      <w:r>
        <w:rPr>
          <w:lang w:val="en-US"/>
        </w:rPr>
        <w:t xml:space="preserve">(LT5) </w:t>
      </w:r>
      <w:r w:rsidRPr="008410ED">
        <w:rPr>
          <w:lang w:val="en-US"/>
        </w:rPr>
        <w:t>channel bandwidth</w:t>
      </w:r>
    </w:p>
    <w:p w14:paraId="6A5EB16E" w14:textId="5410E9FD" w:rsidR="008410ED" w:rsidRDefault="008410ED" w:rsidP="00CA1446">
      <w:pPr>
        <w:jc w:val="both"/>
        <w:rPr>
          <w:lang w:val="en-US"/>
        </w:rPr>
      </w:pPr>
      <w:r w:rsidRPr="008410ED">
        <w:rPr>
          <w:lang w:val="en-US"/>
        </w:rPr>
        <w:t>In the</w:t>
      </w:r>
      <w:r>
        <w:rPr>
          <w:lang w:val="en-US"/>
        </w:rPr>
        <w:t xml:space="preserve"> last meeting, RAN4 made the following agreement regarding LT5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_Ref182018765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10ED" w14:paraId="5E214C5F" w14:textId="77777777" w:rsidTr="008410ED">
        <w:tc>
          <w:tcPr>
            <w:tcW w:w="9629" w:type="dxa"/>
          </w:tcPr>
          <w:p w14:paraId="177D8135" w14:textId="77777777" w:rsidR="008410ED" w:rsidRDefault="008410ED" w:rsidP="008410ED">
            <w:pPr>
              <w:snapToGrid w:val="0"/>
              <w:spacing w:after="120"/>
              <w:rPr>
                <w:rFonts w:ascii="Times New Roman" w:eastAsia="Malgun Gothic" w:hAnsi="Times New Roman" w:cs="Times New Roman"/>
                <w:b/>
                <w:kern w:val="0"/>
                <w:sz w:val="21"/>
                <w:szCs w:val="21"/>
                <w:u w:val="single"/>
                <w14:ligatures w14:val="none"/>
              </w:rPr>
            </w:pPr>
            <w:r>
              <w:rPr>
                <w:rFonts w:eastAsia="Malgun Gothic"/>
                <w:b/>
                <w:sz w:val="21"/>
                <w:szCs w:val="21"/>
                <w:u w:val="single"/>
              </w:rPr>
              <w:t>Issue 2-1-2: LT5 for 2Rx (e)RedCap UE</w:t>
            </w:r>
          </w:p>
          <w:p w14:paraId="44D2815B" w14:textId="77777777" w:rsidR="008410ED" w:rsidRDefault="008410ED" w:rsidP="008410ED">
            <w:pPr>
              <w:tabs>
                <w:tab w:val="left" w:pos="1440"/>
              </w:tabs>
              <w:snapToGrid w:val="0"/>
              <w:spacing w:after="120"/>
              <w:rPr>
                <w:rFonts w:eastAsia="SimSun"/>
                <w:color w:val="000000"/>
                <w:sz w:val="21"/>
                <w:szCs w:val="21"/>
                <w:highlight w:val="green"/>
              </w:rPr>
            </w:pPr>
            <w:r>
              <w:rPr>
                <w:color w:val="000000"/>
                <w:sz w:val="21"/>
                <w:szCs w:val="21"/>
                <w:highlight w:val="green"/>
              </w:rPr>
              <w:lastRenderedPageBreak/>
              <w:t>Agreement:</w:t>
            </w:r>
          </w:p>
          <w:p w14:paraId="5AB95540" w14:textId="77777777" w:rsidR="008410ED" w:rsidRDefault="008410ED" w:rsidP="008410ED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The existing LT5 requirements for non-RedCap UE can be directly reused for 2Rx (e)RedCap UE with full-duplex FDD, TDD modes.</w:t>
            </w:r>
          </w:p>
          <w:p w14:paraId="1308663F" w14:textId="77777777" w:rsidR="008410ED" w:rsidRDefault="008410ED" w:rsidP="008410ED">
            <w:pPr>
              <w:numPr>
                <w:ilvl w:val="1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Handover</w:t>
            </w:r>
          </w:p>
          <w:p w14:paraId="44474B3D" w14:textId="77777777" w:rsidR="008410ED" w:rsidRDefault="008410ED" w:rsidP="008410ED">
            <w:pPr>
              <w:numPr>
                <w:ilvl w:val="1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RLM/BFD</w:t>
            </w:r>
          </w:p>
          <w:p w14:paraId="7E1E4084" w14:textId="77777777" w:rsidR="008410ED" w:rsidRDefault="008410ED" w:rsidP="008410ED">
            <w:pPr>
              <w:numPr>
                <w:ilvl w:val="1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Intra-frequency/Inter-frequency measurement</w:t>
            </w:r>
          </w:p>
          <w:p w14:paraId="5F947A36" w14:textId="2B2923CF" w:rsidR="008410ED" w:rsidRPr="008410ED" w:rsidRDefault="008410ED" w:rsidP="008410ED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Further check for HD-FDD</w:t>
            </w:r>
          </w:p>
        </w:tc>
      </w:tr>
    </w:tbl>
    <w:p w14:paraId="178B4A46" w14:textId="77777777" w:rsidR="008410ED" w:rsidRDefault="008410ED" w:rsidP="00CA1446">
      <w:pPr>
        <w:jc w:val="both"/>
        <w:rPr>
          <w:lang w:val="en-US"/>
        </w:rPr>
      </w:pPr>
    </w:p>
    <w:p w14:paraId="53B47FB8" w14:textId="17E769BF" w:rsidR="008410ED" w:rsidRDefault="008410ED" w:rsidP="008410ED">
      <w:pPr>
        <w:spacing w:line="254" w:lineRule="auto"/>
        <w:jc w:val="both"/>
        <w:rPr>
          <w:lang w:val="en-US"/>
        </w:rPr>
      </w:pPr>
      <w:r w:rsidRPr="008410ED">
        <w:rPr>
          <w:lang w:val="en-US"/>
        </w:rPr>
        <w:t>Since there are the following cases for RedCap UE, the existing LT5 requirements for non-RedCap UE can only apply for 2Rx RedCap full duplex (FDD, TDD)</w:t>
      </w:r>
    </w:p>
    <w:p w14:paraId="5A56A012" w14:textId="46B74559" w:rsidR="008410ED" w:rsidRDefault="008410ED" w:rsidP="008410ED">
      <w:pPr>
        <w:pStyle w:val="ListParagraph"/>
        <w:numPr>
          <w:ilvl w:val="0"/>
          <w:numId w:val="76"/>
        </w:numPr>
        <w:spacing w:line="254" w:lineRule="auto"/>
        <w:jc w:val="both"/>
        <w:rPr>
          <w:lang w:val="en-US"/>
        </w:rPr>
      </w:pPr>
      <w:r>
        <w:rPr>
          <w:lang w:val="en-US"/>
        </w:rPr>
        <w:t xml:space="preserve">2Rx RedCap full duplex (FDD, TDD) </w:t>
      </w:r>
      <w:r>
        <w:rPr>
          <w:lang w:val="en-US"/>
        </w:rPr>
        <w:sym w:font="Wingdings" w:char="F0E0"/>
      </w:r>
      <w:r>
        <w:rPr>
          <w:lang w:val="en-US"/>
        </w:rPr>
        <w:t xml:space="preserve"> </w:t>
      </w:r>
      <w:r>
        <w:rPr>
          <w:b/>
          <w:bCs/>
          <w:lang w:val="en-US"/>
        </w:rPr>
        <w:t xml:space="preserve">reuse the </w:t>
      </w:r>
      <w:r w:rsidRPr="008410ED">
        <w:rPr>
          <w:b/>
          <w:bCs/>
          <w:lang w:val="en-US"/>
        </w:rPr>
        <w:t>existing LT5 requirements</w:t>
      </w:r>
    </w:p>
    <w:p w14:paraId="4847AB8E" w14:textId="77777777" w:rsidR="008410ED" w:rsidRDefault="008410ED" w:rsidP="008410ED">
      <w:pPr>
        <w:pStyle w:val="ListParagraph"/>
        <w:numPr>
          <w:ilvl w:val="0"/>
          <w:numId w:val="76"/>
        </w:numPr>
        <w:spacing w:line="252" w:lineRule="auto"/>
        <w:jc w:val="both"/>
        <w:rPr>
          <w:lang w:val="en-US"/>
        </w:rPr>
      </w:pPr>
      <w:r>
        <w:rPr>
          <w:lang w:val="en-US"/>
        </w:rPr>
        <w:t xml:space="preserve">2Rx RedCap HD-FDD  </w:t>
      </w:r>
      <w:r>
        <w:rPr>
          <w:lang w:val="en-US"/>
        </w:rPr>
        <w:sym w:font="Wingdings" w:char="F0E0"/>
      </w:r>
      <w:r>
        <w:rPr>
          <w:lang w:val="en-US"/>
        </w:rPr>
        <w:t xml:space="preserve"> ?</w:t>
      </w:r>
    </w:p>
    <w:p w14:paraId="008D3856" w14:textId="77777777" w:rsidR="008410ED" w:rsidRDefault="008410ED" w:rsidP="008410ED">
      <w:pPr>
        <w:pStyle w:val="ListParagraph"/>
        <w:numPr>
          <w:ilvl w:val="0"/>
          <w:numId w:val="76"/>
        </w:numPr>
        <w:spacing w:line="252" w:lineRule="auto"/>
        <w:jc w:val="both"/>
        <w:rPr>
          <w:lang w:val="en-US"/>
        </w:rPr>
      </w:pPr>
      <w:r>
        <w:rPr>
          <w:lang w:val="en-US"/>
        </w:rPr>
        <w:t xml:space="preserve">1Rx RedCap full duplex (FDD, TDD) </w:t>
      </w:r>
      <w:r>
        <w:rPr>
          <w:lang w:val="en-US"/>
        </w:rPr>
        <w:sym w:font="Wingdings" w:char="F0E0"/>
      </w:r>
      <w:r>
        <w:rPr>
          <w:lang w:val="en-US"/>
        </w:rPr>
        <w:t xml:space="preserve"> ?</w:t>
      </w:r>
    </w:p>
    <w:p w14:paraId="44B6F53D" w14:textId="77777777" w:rsidR="008410ED" w:rsidRDefault="008410ED" w:rsidP="008410ED">
      <w:pPr>
        <w:pStyle w:val="ListParagraph"/>
        <w:numPr>
          <w:ilvl w:val="0"/>
          <w:numId w:val="76"/>
        </w:numPr>
        <w:spacing w:line="252" w:lineRule="auto"/>
        <w:jc w:val="both"/>
        <w:rPr>
          <w:lang w:val="en-US"/>
        </w:rPr>
      </w:pPr>
      <w:r>
        <w:rPr>
          <w:lang w:val="en-US"/>
        </w:rPr>
        <w:t xml:space="preserve">1Rx RedCap HD-FDD </w:t>
      </w:r>
      <w:r>
        <w:rPr>
          <w:lang w:val="en-US"/>
        </w:rPr>
        <w:sym w:font="Wingdings" w:char="F0E0"/>
      </w:r>
      <w:r>
        <w:rPr>
          <w:lang w:val="en-US"/>
        </w:rPr>
        <w:t xml:space="preserve"> ?</w:t>
      </w:r>
    </w:p>
    <w:p w14:paraId="7B1658BA" w14:textId="7CE8C83E" w:rsidR="008410ED" w:rsidRPr="008410ED" w:rsidRDefault="008410ED" w:rsidP="008410ED">
      <w:pPr>
        <w:jc w:val="both"/>
        <w:rPr>
          <w:lang w:val="en-US"/>
        </w:rPr>
      </w:pPr>
      <w:r w:rsidRPr="008410ED">
        <w:rPr>
          <w:lang w:val="en-US"/>
        </w:rPr>
        <w:t xml:space="preserve">For HD-FDD </w:t>
      </w:r>
      <w:r>
        <w:rPr>
          <w:lang w:val="en-US"/>
        </w:rPr>
        <w:t xml:space="preserve">2Rx RedCap UE, in our view, the </w:t>
      </w:r>
      <w:r w:rsidRPr="008410ED">
        <w:rPr>
          <w:lang w:val="en-US"/>
        </w:rPr>
        <w:t>existing LT5 requirements for non-RedCap</w:t>
      </w:r>
      <w:r>
        <w:rPr>
          <w:lang w:val="en-US"/>
        </w:rPr>
        <w:t xml:space="preserve"> can also apply to</w:t>
      </w:r>
      <w:r w:rsidRPr="008410ED">
        <w:rPr>
          <w:lang w:val="en-US"/>
        </w:rPr>
        <w:t xml:space="preserve"> 2Rx RedCap HD-FDD</w:t>
      </w:r>
      <w:r>
        <w:rPr>
          <w:lang w:val="en-US"/>
        </w:rPr>
        <w:t xml:space="preserve"> with adding similar condition used in legacy for HD-FDD</w:t>
      </w:r>
      <w:r w:rsidRPr="008410ED">
        <w:rPr>
          <w:lang w:val="en-US"/>
        </w:rPr>
        <w:t xml:space="preserve"> </w:t>
      </w:r>
      <w:r>
        <w:rPr>
          <w:lang w:val="en-US"/>
        </w:rPr>
        <w:t>RedCap requirements (e.g., for HD-FDD handover, HD-FDD RLM/BFD).</w:t>
      </w:r>
    </w:p>
    <w:p w14:paraId="76DE92B1" w14:textId="7C98D7E8" w:rsidR="00CA1446" w:rsidRDefault="00CA1446" w:rsidP="00CA1446">
      <w:pPr>
        <w:jc w:val="both"/>
        <w:rPr>
          <w:b/>
          <w:bCs/>
        </w:rPr>
      </w:pPr>
      <w:r>
        <w:rPr>
          <w:b/>
          <w:bCs/>
        </w:rPr>
        <w:t xml:space="preserve">Proposal 3: </w:t>
      </w:r>
      <w:r w:rsidR="008410ED">
        <w:rPr>
          <w:b/>
          <w:bCs/>
        </w:rPr>
        <w:t>T</w:t>
      </w:r>
      <w:r w:rsidR="008410ED" w:rsidRPr="008410ED">
        <w:rPr>
          <w:b/>
          <w:bCs/>
        </w:rPr>
        <w:t>he existing LT5 requirements for non-RedCap can also apply to 2Rx RedCap HD-FDD with adding similar condition used in legacy HD-FDD RedCap requirements</w:t>
      </w:r>
      <w:r w:rsidR="008410ED">
        <w:rPr>
          <w:b/>
          <w:bCs/>
        </w:rPr>
        <w:t>.</w:t>
      </w:r>
    </w:p>
    <w:p w14:paraId="641B6463" w14:textId="77777777" w:rsidR="008410ED" w:rsidRDefault="008410ED" w:rsidP="004F0AE8">
      <w:pPr>
        <w:jc w:val="both"/>
        <w:rPr>
          <w:rFonts w:eastAsia="SimSun" w:cs="Arial"/>
          <w:bCs/>
          <w:lang w:val="en-US"/>
        </w:rPr>
      </w:pPr>
    </w:p>
    <w:p w14:paraId="5DEB2C2F" w14:textId="6FEEB090" w:rsidR="008410ED" w:rsidRDefault="008410ED" w:rsidP="004F0AE8">
      <w:pPr>
        <w:jc w:val="both"/>
        <w:rPr>
          <w:rFonts w:eastAsia="SimSun" w:cs="Arial"/>
          <w:bCs/>
          <w:lang w:val="en-US"/>
        </w:rPr>
      </w:pPr>
      <w:r>
        <w:rPr>
          <w:rFonts w:eastAsia="SimSun" w:cs="Arial"/>
          <w:bCs/>
          <w:lang w:val="en-US"/>
        </w:rPr>
        <w:t xml:space="preserve">On the other hand, for 1Rx RedCap UE, RAN4 need further discussion on how define LT5 requirements for such case taking into account </w:t>
      </w:r>
      <w:r w:rsidR="009006CF" w:rsidRPr="009006CF">
        <w:rPr>
          <w:rFonts w:eastAsia="SimSun" w:cs="Arial"/>
          <w:bCs/>
          <w:lang w:val="en-US"/>
        </w:rPr>
        <w:t>the PDCCH hypothetical parameters</w:t>
      </w:r>
      <w:r w:rsidR="009006CF">
        <w:rPr>
          <w:rFonts w:eastAsia="SimSun" w:cs="Arial"/>
          <w:bCs/>
          <w:lang w:val="en-US"/>
        </w:rPr>
        <w:t>. RAN4 also need to discuss any consequences from</w:t>
      </w:r>
      <w:r w:rsidR="009006CF" w:rsidRPr="009006CF">
        <w:rPr>
          <w:rFonts w:eastAsia="SimSun" w:cs="Arial"/>
          <w:bCs/>
          <w:lang w:val="en-US"/>
        </w:rPr>
        <w:t xml:space="preserve"> target</w:t>
      </w:r>
      <w:r w:rsidR="009006CF">
        <w:rPr>
          <w:rFonts w:eastAsia="SimSun" w:cs="Arial"/>
          <w:bCs/>
          <w:lang w:val="en-US"/>
        </w:rPr>
        <w:t xml:space="preserve">ing </w:t>
      </w:r>
      <w:r w:rsidR="009006CF" w:rsidRPr="009006CF">
        <w:rPr>
          <w:rFonts w:eastAsia="SimSun" w:cs="Arial"/>
          <w:bCs/>
          <w:lang w:val="en-US"/>
        </w:rPr>
        <w:t>coverage equivalence between 1Rx and 2Rx RedCap UEs</w:t>
      </w:r>
      <w:r w:rsidR="009006CF">
        <w:rPr>
          <w:rFonts w:eastAsia="SimSun" w:cs="Arial"/>
          <w:bCs/>
          <w:lang w:val="en-US"/>
        </w:rPr>
        <w:t>.</w:t>
      </w:r>
    </w:p>
    <w:p w14:paraId="7C8C87FD" w14:textId="612AA7A0" w:rsidR="009006CF" w:rsidRDefault="009006CF" w:rsidP="009006CF">
      <w:pPr>
        <w:jc w:val="both"/>
        <w:rPr>
          <w:b/>
          <w:bCs/>
        </w:rPr>
      </w:pPr>
      <w:r>
        <w:rPr>
          <w:b/>
          <w:bCs/>
        </w:rPr>
        <w:t xml:space="preserve">Proposal 4: For LT5 requirements for 1Rx RedCap UE, </w:t>
      </w:r>
      <w:r w:rsidRPr="009006CF">
        <w:rPr>
          <w:b/>
          <w:bCs/>
        </w:rPr>
        <w:t>RAN4 to discuss any consequences from targeting coverage equivalence between 1Rx and 2Rx RedCap UEs</w:t>
      </w:r>
      <w:r>
        <w:rPr>
          <w:b/>
          <w:bCs/>
        </w:rPr>
        <w:t>.</w:t>
      </w:r>
    </w:p>
    <w:p w14:paraId="00A208EB" w14:textId="77777777" w:rsidR="009006CF" w:rsidRPr="009006CF" w:rsidRDefault="009006CF" w:rsidP="004F0AE8">
      <w:pPr>
        <w:jc w:val="both"/>
        <w:rPr>
          <w:rFonts w:eastAsia="SimSun" w:cs="Arial"/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6C90A50E" w14:textId="7A337E60" w:rsidR="00A54369" w:rsidRPr="00D50514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8799323" w14:textId="77777777" w:rsidR="008410ED" w:rsidRDefault="008410ED" w:rsidP="008410ED">
      <w:pPr>
        <w:jc w:val="both"/>
        <w:rPr>
          <w:b/>
          <w:bCs/>
        </w:rPr>
      </w:pPr>
      <w:r>
        <w:rPr>
          <w:b/>
          <w:bCs/>
        </w:rPr>
        <w:t xml:space="preserve">Observation 1: The RLM/BFD evaluation requirement </w:t>
      </w:r>
      <w:r>
        <w:rPr>
          <w:lang w:val="en-US"/>
        </w:rPr>
        <w:t>T</w:t>
      </w:r>
      <w:r>
        <w:rPr>
          <w:vertAlign w:val="subscript"/>
          <w:lang w:val="en-US"/>
        </w:rPr>
        <w:t>Evaluate_out_SSB,RedCap</w:t>
      </w:r>
      <w:r>
        <w:rPr>
          <w:lang w:val="en-US"/>
        </w:rPr>
        <w:t xml:space="preserve"> </w:t>
      </w:r>
      <w:r>
        <w:rPr>
          <w:b/>
          <w:bCs/>
        </w:rPr>
        <w:t>for 1Rx RedCap UE is extended (doubled) compared to 2Rx RedCap UE</w:t>
      </w:r>
    </w:p>
    <w:p w14:paraId="489C3795" w14:textId="50F150A3" w:rsidR="00CA1446" w:rsidRDefault="008410ED" w:rsidP="00CA1446">
      <w:pPr>
        <w:jc w:val="both"/>
        <w:rPr>
          <w:b/>
          <w:bCs/>
        </w:rPr>
      </w:pPr>
      <w:r>
        <w:rPr>
          <w:b/>
          <w:bCs/>
        </w:rPr>
        <w:t>Proposal 1: RAN4 to discuss whether to reuse R17 RLM/BFD relaxation requirements for 1Rx RedCap UE same as 2Rx RedCap UE.</w:t>
      </w:r>
    </w:p>
    <w:p w14:paraId="72B216B0" w14:textId="77777777" w:rsidR="008410ED" w:rsidRDefault="008410ED" w:rsidP="008410ED">
      <w:pPr>
        <w:jc w:val="both"/>
        <w:rPr>
          <w:b/>
          <w:bCs/>
        </w:rPr>
      </w:pPr>
      <w:r>
        <w:rPr>
          <w:b/>
          <w:bCs/>
        </w:rPr>
        <w:t>Proposal 2: Re-use R17 RLM/BFD relaxation criteria (serving cell quality criteria and Low mobility criteria) for RedCap UE supporting RLM/BFD relaxation.</w:t>
      </w:r>
    </w:p>
    <w:p w14:paraId="0B768D33" w14:textId="77777777" w:rsidR="008410ED" w:rsidRDefault="008410ED" w:rsidP="008410ED">
      <w:pPr>
        <w:jc w:val="both"/>
        <w:rPr>
          <w:b/>
          <w:bCs/>
        </w:rPr>
      </w:pPr>
      <w:r>
        <w:rPr>
          <w:b/>
          <w:bCs/>
        </w:rPr>
        <w:t>Proposal 3: The existing LT5 requirements for non-RedCap can also apply to 2Rx RedCap HD-FDD with adding similar condition used in legacy HD-FDD RedCap requirements.</w:t>
      </w:r>
    </w:p>
    <w:p w14:paraId="7D833BA9" w14:textId="77777777" w:rsidR="009006CF" w:rsidRDefault="009006CF" w:rsidP="009006CF">
      <w:pPr>
        <w:jc w:val="both"/>
        <w:rPr>
          <w:b/>
          <w:bCs/>
        </w:rPr>
      </w:pPr>
      <w:r>
        <w:rPr>
          <w:b/>
          <w:bCs/>
        </w:rPr>
        <w:lastRenderedPageBreak/>
        <w:t>Proposal 4: For LT5 requirements for 1Rx RedCap UE, RAN4 to discuss any consequences from targeting coverage equivalence between 1Rx and 2Rx RedCap UEs.</w:t>
      </w:r>
    </w:p>
    <w:p w14:paraId="0845B026" w14:textId="77777777" w:rsidR="00CA1446" w:rsidRDefault="00CA1446" w:rsidP="00CA1446">
      <w:pPr>
        <w:jc w:val="both"/>
        <w:rPr>
          <w:b/>
          <w:bCs/>
        </w:rPr>
      </w:pPr>
    </w:p>
    <w:p w14:paraId="5420D03F" w14:textId="77777777" w:rsidR="009C354B" w:rsidRPr="00F64625" w:rsidRDefault="009C354B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32EF90F" w14:textId="7BD85009" w:rsidR="00D55F7B" w:rsidRPr="001A5974" w:rsidRDefault="00A047ED" w:rsidP="00A047ED">
      <w:pPr>
        <w:pStyle w:val="ListParagraph"/>
        <w:numPr>
          <w:ilvl w:val="0"/>
          <w:numId w:val="2"/>
        </w:numPr>
        <w:spacing w:line="256" w:lineRule="auto"/>
      </w:pPr>
      <w:bookmarkStart w:id="1" w:name="_Ref182018765"/>
      <w:r w:rsidRPr="00A047ED">
        <w:t>R4-2514821</w:t>
      </w:r>
      <w:r w:rsidR="00206A5F">
        <w:t xml:space="preserve">, </w:t>
      </w:r>
      <w:r w:rsidRPr="00A047ED">
        <w:t>WF on NR_RRM_Ph6</w:t>
      </w:r>
      <w:r w:rsidR="00206A5F">
        <w:t xml:space="preserve">, </w:t>
      </w:r>
      <w:r w:rsidR="00983A9A" w:rsidRPr="00983A9A">
        <w:t>Ericsson</w:t>
      </w:r>
      <w:r w:rsidR="0048100C">
        <w:t>.</w:t>
      </w:r>
      <w:bookmarkEnd w:id="1"/>
      <w:r w:rsidRPr="00A047ED">
        <w:t xml:space="preserve"> </w:t>
      </w:r>
    </w:p>
    <w:sectPr w:rsidR="00D55F7B" w:rsidRPr="001A5974" w:rsidSect="002662D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73AD" w14:textId="77777777" w:rsidR="00F060C9" w:rsidRDefault="00F060C9">
      <w:r>
        <w:separator/>
      </w:r>
    </w:p>
  </w:endnote>
  <w:endnote w:type="continuationSeparator" w:id="0">
    <w:p w14:paraId="77FA21F5" w14:textId="77777777" w:rsidR="00F060C9" w:rsidRDefault="00F0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9928" w14:textId="77777777" w:rsidR="00F060C9" w:rsidRDefault="00F060C9">
      <w:r>
        <w:separator/>
      </w:r>
    </w:p>
  </w:footnote>
  <w:footnote w:type="continuationSeparator" w:id="0">
    <w:p w14:paraId="2ACFAA58" w14:textId="77777777" w:rsidR="00F060C9" w:rsidRDefault="00F06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14459C"/>
    <w:multiLevelType w:val="hybridMultilevel"/>
    <w:tmpl w:val="31EA49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42C1B7D"/>
    <w:multiLevelType w:val="hybridMultilevel"/>
    <w:tmpl w:val="2E922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43178"/>
    <w:multiLevelType w:val="hybridMultilevel"/>
    <w:tmpl w:val="F90A8AAE"/>
    <w:lvl w:ilvl="0" w:tplc="08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8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 w15:restartNumberingAfterBreak="0">
    <w:nsid w:val="19B865C1"/>
    <w:multiLevelType w:val="hybridMultilevel"/>
    <w:tmpl w:val="F190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A65D59"/>
    <w:multiLevelType w:val="hybridMultilevel"/>
    <w:tmpl w:val="E3E8D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9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CA4373"/>
    <w:multiLevelType w:val="hybridMultilevel"/>
    <w:tmpl w:val="A6B85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3670ED"/>
    <w:multiLevelType w:val="hybridMultilevel"/>
    <w:tmpl w:val="25D0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3207F"/>
    <w:multiLevelType w:val="hybridMultilevel"/>
    <w:tmpl w:val="B192A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06A74"/>
    <w:multiLevelType w:val="hybridMultilevel"/>
    <w:tmpl w:val="53926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2DF4E22"/>
    <w:multiLevelType w:val="hybridMultilevel"/>
    <w:tmpl w:val="4DD2D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30" w15:restartNumberingAfterBreak="0">
    <w:nsid w:val="42766B5C"/>
    <w:multiLevelType w:val="hybridMultilevel"/>
    <w:tmpl w:val="FF26DA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B207A9"/>
    <w:multiLevelType w:val="hybridMultilevel"/>
    <w:tmpl w:val="FCEEFC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7C8760D"/>
    <w:multiLevelType w:val="hybridMultilevel"/>
    <w:tmpl w:val="AB0ED4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C116CAB"/>
    <w:multiLevelType w:val="multilevel"/>
    <w:tmpl w:val="664AC10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203B0F"/>
    <w:multiLevelType w:val="hybridMultilevel"/>
    <w:tmpl w:val="14741A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EEA041F"/>
    <w:multiLevelType w:val="hybridMultilevel"/>
    <w:tmpl w:val="89A4EFA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B021DE"/>
    <w:multiLevelType w:val="hybridMultilevel"/>
    <w:tmpl w:val="169A6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67FB65CD"/>
    <w:multiLevelType w:val="hybridMultilevel"/>
    <w:tmpl w:val="8BEC5E36"/>
    <w:lvl w:ilvl="0" w:tplc="A704B8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41049D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7C68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8D2D8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B429A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2D3A60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A454AC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EF82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9E2C8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6DF10630"/>
    <w:multiLevelType w:val="hybridMultilevel"/>
    <w:tmpl w:val="0ED69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7" w15:restartNumberingAfterBreak="0">
    <w:nsid w:val="7BEF5964"/>
    <w:multiLevelType w:val="multilevel"/>
    <w:tmpl w:val="0FA8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0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7199A"/>
    <w:multiLevelType w:val="hybridMultilevel"/>
    <w:tmpl w:val="98C89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285946">
    <w:abstractNumId w:val="51"/>
  </w:num>
  <w:num w:numId="2" w16cid:durableId="173874908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25"/>
  </w:num>
  <w:num w:numId="4" w16cid:durableId="157951399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8"/>
  </w:num>
  <w:num w:numId="6" w16cid:durableId="123088283">
    <w:abstractNumId w:val="33"/>
  </w:num>
  <w:num w:numId="7" w16cid:durableId="933320673">
    <w:abstractNumId w:val="16"/>
  </w:num>
  <w:num w:numId="8" w16cid:durableId="1639996714">
    <w:abstractNumId w:val="36"/>
  </w:num>
  <w:num w:numId="9" w16cid:durableId="913469679">
    <w:abstractNumId w:val="33"/>
  </w:num>
  <w:num w:numId="10" w16cid:durableId="1545212710">
    <w:abstractNumId w:val="36"/>
  </w:num>
  <w:num w:numId="11" w16cid:durableId="1093014052">
    <w:abstractNumId w:val="0"/>
  </w:num>
  <w:num w:numId="12" w16cid:durableId="1287157629">
    <w:abstractNumId w:val="14"/>
  </w:num>
  <w:num w:numId="13" w16cid:durableId="2027827007">
    <w:abstractNumId w:val="35"/>
  </w:num>
  <w:num w:numId="14" w16cid:durableId="797920952">
    <w:abstractNumId w:val="21"/>
  </w:num>
  <w:num w:numId="15" w16cid:durableId="1583298407">
    <w:abstractNumId w:val="21"/>
  </w:num>
  <w:num w:numId="16" w16cid:durableId="729232797">
    <w:abstractNumId w:val="50"/>
  </w:num>
  <w:num w:numId="17" w16cid:durableId="1809740761">
    <w:abstractNumId w:val="17"/>
  </w:num>
  <w:num w:numId="18" w16cid:durableId="284191857">
    <w:abstractNumId w:val="3"/>
  </w:num>
  <w:num w:numId="19" w16cid:durableId="401487208">
    <w:abstractNumId w:val="11"/>
  </w:num>
  <w:num w:numId="20" w16cid:durableId="1532840962">
    <w:abstractNumId w:val="46"/>
  </w:num>
  <w:num w:numId="21" w16cid:durableId="2037349397">
    <w:abstractNumId w:val="9"/>
  </w:num>
  <w:num w:numId="22" w16cid:durableId="1783374912">
    <w:abstractNumId w:val="29"/>
  </w:num>
  <w:num w:numId="23" w16cid:durableId="32459540">
    <w:abstractNumId w:val="21"/>
  </w:num>
  <w:num w:numId="24" w16cid:durableId="1333534701">
    <w:abstractNumId w:val="52"/>
  </w:num>
  <w:num w:numId="25" w16cid:durableId="582495249">
    <w:abstractNumId w:val="4"/>
  </w:num>
  <w:num w:numId="26" w16cid:durableId="1094205401">
    <w:abstractNumId w:val="10"/>
  </w:num>
  <w:num w:numId="27" w16cid:durableId="62411861">
    <w:abstractNumId w:val="2"/>
  </w:num>
  <w:num w:numId="28" w16cid:durableId="1123039776">
    <w:abstractNumId w:val="19"/>
  </w:num>
  <w:num w:numId="29" w16cid:durableId="1680232521">
    <w:abstractNumId w:val="19"/>
  </w:num>
  <w:num w:numId="30" w16cid:durableId="1903828835">
    <w:abstractNumId w:val="3"/>
  </w:num>
  <w:num w:numId="31" w16cid:durableId="1907759603">
    <w:abstractNumId w:val="27"/>
  </w:num>
  <w:num w:numId="32" w16cid:durableId="953901140">
    <w:abstractNumId w:val="27"/>
  </w:num>
  <w:num w:numId="33" w16cid:durableId="84957327">
    <w:abstractNumId w:val="27"/>
  </w:num>
  <w:num w:numId="34" w16cid:durableId="874000490">
    <w:abstractNumId w:val="8"/>
  </w:num>
  <w:num w:numId="35" w16cid:durableId="5234478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8"/>
  </w:num>
  <w:num w:numId="37" w16cid:durableId="1776050421">
    <w:abstractNumId w:val="18"/>
  </w:num>
  <w:num w:numId="38" w16cid:durableId="401605719">
    <w:abstractNumId w:val="2"/>
  </w:num>
  <w:num w:numId="39" w16cid:durableId="1826512047">
    <w:abstractNumId w:val="45"/>
  </w:num>
  <w:num w:numId="40" w16cid:durableId="163130355">
    <w:abstractNumId w:val="45"/>
  </w:num>
  <w:num w:numId="41" w16cid:durableId="1750887054">
    <w:abstractNumId w:val="52"/>
  </w:num>
  <w:num w:numId="42" w16cid:durableId="1525482819">
    <w:abstractNumId w:val="4"/>
  </w:num>
  <w:num w:numId="43" w16cid:durableId="756436547">
    <w:abstractNumId w:val="38"/>
  </w:num>
  <w:num w:numId="44" w16cid:durableId="1975060488">
    <w:abstractNumId w:val="18"/>
  </w:num>
  <w:num w:numId="45" w16cid:durableId="39209876">
    <w:abstractNumId w:val="41"/>
  </w:num>
  <w:num w:numId="46" w16cid:durableId="308479266">
    <w:abstractNumId w:val="38"/>
  </w:num>
  <w:num w:numId="47" w16cid:durableId="2046909957">
    <w:abstractNumId w:val="44"/>
  </w:num>
  <w:num w:numId="48" w16cid:durableId="895051872">
    <w:abstractNumId w:val="48"/>
  </w:num>
  <w:num w:numId="49" w16cid:durableId="1081487369">
    <w:abstractNumId w:val="7"/>
  </w:num>
  <w:num w:numId="50" w16cid:durableId="721296149">
    <w:abstractNumId w:val="22"/>
  </w:num>
  <w:num w:numId="51" w16cid:durableId="753206661">
    <w:abstractNumId w:val="22"/>
  </w:num>
  <w:num w:numId="52" w16cid:durableId="774131340">
    <w:abstractNumId w:val="38"/>
  </w:num>
  <w:num w:numId="53" w16cid:durableId="1742487071">
    <w:abstractNumId w:val="22"/>
  </w:num>
  <w:num w:numId="54" w16cid:durableId="790709136">
    <w:abstractNumId w:val="26"/>
  </w:num>
  <w:num w:numId="55" w16cid:durableId="345252163">
    <w:abstractNumId w:val="24"/>
  </w:num>
  <w:num w:numId="56" w16cid:durableId="289365988">
    <w:abstractNumId w:val="24"/>
  </w:num>
  <w:num w:numId="57" w16cid:durableId="229311859">
    <w:abstractNumId w:val="38"/>
  </w:num>
  <w:num w:numId="58" w16cid:durableId="789322597">
    <w:abstractNumId w:val="23"/>
  </w:num>
  <w:num w:numId="59" w16cid:durableId="909845506">
    <w:abstractNumId w:val="37"/>
  </w:num>
  <w:num w:numId="60" w16cid:durableId="117575686">
    <w:abstractNumId w:val="40"/>
  </w:num>
  <w:num w:numId="61" w16cid:durableId="1071388446">
    <w:abstractNumId w:val="31"/>
  </w:num>
  <w:num w:numId="62" w16cid:durableId="1357850946">
    <w:abstractNumId w:val="38"/>
  </w:num>
  <w:num w:numId="63" w16cid:durableId="496922783">
    <w:abstractNumId w:val="38"/>
  </w:num>
  <w:num w:numId="64" w16cid:durableId="1402219216">
    <w:abstractNumId w:val="20"/>
  </w:num>
  <w:num w:numId="65" w16cid:durableId="766997237">
    <w:abstractNumId w:val="39"/>
  </w:num>
  <w:num w:numId="66" w16cid:durableId="1282492035">
    <w:abstractNumId w:val="38"/>
  </w:num>
  <w:num w:numId="67" w16cid:durableId="1884710390">
    <w:abstractNumId w:val="43"/>
  </w:num>
  <w:num w:numId="68" w16cid:durableId="926424316">
    <w:abstractNumId w:val="6"/>
  </w:num>
  <w:num w:numId="69" w16cid:durableId="538934499">
    <w:abstractNumId w:val="6"/>
  </w:num>
  <w:num w:numId="70" w16cid:durableId="695497092">
    <w:abstractNumId w:val="1"/>
  </w:num>
  <w:num w:numId="71" w16cid:durableId="1750149377">
    <w:abstractNumId w:val="30"/>
  </w:num>
  <w:num w:numId="72" w16cid:durableId="380591999">
    <w:abstractNumId w:val="32"/>
  </w:num>
  <w:num w:numId="73" w16cid:durableId="1261916000">
    <w:abstractNumId w:val="6"/>
  </w:num>
  <w:num w:numId="74" w16cid:durableId="752166240">
    <w:abstractNumId w:val="47"/>
  </w:num>
  <w:num w:numId="75" w16cid:durableId="775563697">
    <w:abstractNumId w:val="12"/>
  </w:num>
  <w:num w:numId="76" w16cid:durableId="642344514">
    <w:abstractNumId w:val="12"/>
  </w:num>
  <w:num w:numId="77" w16cid:durableId="2063863941">
    <w:abstractNumId w:val="34"/>
  </w:num>
  <w:num w:numId="78" w16cid:durableId="132017588">
    <w:abstractNumId w:val="42"/>
  </w:num>
  <w:num w:numId="79" w16cid:durableId="606278780">
    <w:abstractNumId w:val="53"/>
  </w:num>
  <w:num w:numId="80" w16cid:durableId="1486242805">
    <w:abstractNumId w:val="53"/>
  </w:num>
  <w:num w:numId="81" w16cid:durableId="1873691158">
    <w:abstractNumId w:val="13"/>
  </w:num>
  <w:num w:numId="82" w16cid:durableId="1384597362">
    <w:abstractNumId w:val="15"/>
  </w:num>
  <w:num w:numId="83" w16cid:durableId="205823958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655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350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1D6F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5AB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41D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8BC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27EF9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574EA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6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E9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A5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5AB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395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0E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AF5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69C1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5A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84D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EC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E6F04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0C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424A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40F3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173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47B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A9C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5E02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67E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0D3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75A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53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30F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A2E"/>
    <w:rsid w:val="00743D13"/>
    <w:rsid w:val="00743E28"/>
    <w:rsid w:val="007440BB"/>
    <w:rsid w:val="00744219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5DD3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768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87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0ED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C0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06CF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591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367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53B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A9A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87D33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54B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167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7ED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E1E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313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CA3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58CC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085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048"/>
    <w:rsid w:val="00C053DA"/>
    <w:rsid w:val="00C064E9"/>
    <w:rsid w:val="00C06924"/>
    <w:rsid w:val="00C06A6F"/>
    <w:rsid w:val="00C06D92"/>
    <w:rsid w:val="00C06DBD"/>
    <w:rsid w:val="00C0708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CD9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48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20F"/>
    <w:rsid w:val="00C97F6F"/>
    <w:rsid w:val="00CA09D1"/>
    <w:rsid w:val="00CA0ECB"/>
    <w:rsid w:val="00CA0FC8"/>
    <w:rsid w:val="00CA1438"/>
    <w:rsid w:val="00CA144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62A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529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514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5F7B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E8B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9D6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7AB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0C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BE6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6E46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0CE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625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21AC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6704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F04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6F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F0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3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5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46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09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7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2025-11-07T14:05:00Z</dcterms:created>
  <dcterms:modified xsi:type="dcterms:W3CDTF">2025-11-07T19:11:00Z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